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</w:t>
      </w:r>
    </w:p>
    <w:p>
      <w:pPr/>
      <w:r>
        <w:rPr/>
        <w:t xml:space="preserve">Número: 2026-001        Fecha de expedición: dd/mm/aaaa        Vencimiento: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Desarrollo de software (octubre)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2.000,00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2.000,00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2.000,00 €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(0 %)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2.000,00 €</w:t>
            </w:r>
          </w:p>
        </w:tc>
      </w:tr>
    </w:tbl>
    <w:p/>
    <w:p>
      <w:pPr/>
      <w:r>
        <w:rPr>
          <w:b w:val="1"/>
          <w:bCs w:val="1"/>
        </w:rPr>
        <w:t xml:space="preserve">Inversión del sujeto pasivo. Operación no sujeta al IVA español (artículo 69.Uno.1.º de la Ley 37/1992).</w:t>
      </w:r>
    </w:p>
    <w:p>
      <w:pPr/>
      <w:r>
        <w:rPr/>
        <w:t xml:space="preserve">Forma de pago: transferencia a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2026-11-01T16:11:00+00:00</dcterms:created>
  <dcterms:modified xsi:type="dcterms:W3CDTF">2026-11-01T16:11:00+00:00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