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PRESUPUESTO</w:t>
      </w:r>
    </w:p>
    <w:p>
      <w:pPr/>
      <w:r>
        <w:rPr/>
        <w:t xml:space="preserve">Número: 2026-001        Fecha de expedición: dd/mm/aaaa        Válido hasta: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Sustitución del cuadro eléctrico y revisión de la instalación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650,00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650,00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650,00 €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(21 %)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136,50 €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786,50 €</w:t>
            </w:r>
          </w:p>
        </w:tc>
      </w:tr>
    </w:tbl>
    <w:p/>
    <w:p>
      <w:pPr/>
      <w:r>
        <w:rPr/>
        <w:t xml:space="preserve">Forma de pago: transferencia a ES00 0000 0000 0000 0000 0000</w:t>
      </w:r>
    </w:p>
    <w:p/>
    <w:p>
      <w:pPr/>
      <w:r>
        <w:rPr/>
        <w:t xml:space="preserve">Este presupuesto no es una factura. Aceptado por el cliente (firma y fecha):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 y el total de cada presupuesto.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presupuesto</dc:title>
  <dc:description/>
  <dc:subject/>
  <cp:keywords/>
  <cp:category/>
  <cp:lastModifiedBy/>
  <dcterms:created xsi:type="dcterms:W3CDTF">2026-11-01T16:13:52+00:00</dcterms:created>
  <dcterms:modified xsi:type="dcterms:W3CDTF">2026-11-01T16:13:52+00:00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